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CAC7" w14:textId="0C4B4818" w:rsidR="00CF6B6E" w:rsidRDefault="00AE4150" w:rsidP="00AE4150">
      <w:pPr>
        <w:jc w:val="center"/>
      </w:pPr>
      <w:r>
        <w:t xml:space="preserve">The Town Board of the Town of Bennett, Douglas County, Wisconsin, has the specific authority under </w:t>
      </w:r>
      <w:r w:rsidR="00664BBE" w:rsidRPr="00664BBE">
        <w:t>s. 157.07, 157.08 or 157.11 (7)</w:t>
      </w:r>
      <w:r>
        <w:t xml:space="preserve">, Wis. Stats., to adopt this ordinance. This ordinance, adopted by a two-thirds majority of the town board on a roll call vote with a quorum and voting and proper notice having been given, </w:t>
      </w:r>
      <w:r w:rsidR="00664BBE">
        <w:t xml:space="preserve">establishes policies concerning the operation of the cemeteries located in the Town of Bennett and under its purview, custody, and care are as follows. </w:t>
      </w:r>
    </w:p>
    <w:p w14:paraId="50B83F56" w14:textId="77777777" w:rsidR="00664BBE" w:rsidRDefault="00664BBE" w:rsidP="00AE4150">
      <w:pPr>
        <w:jc w:val="center"/>
      </w:pPr>
    </w:p>
    <w:p w14:paraId="4D5711C4" w14:textId="5D6E6F2E" w:rsidR="00664BBE" w:rsidRDefault="00664BBE" w:rsidP="00664BBE">
      <w:pPr>
        <w:pStyle w:val="ListParagraph"/>
        <w:numPr>
          <w:ilvl w:val="0"/>
          <w:numId w:val="1"/>
        </w:numPr>
        <w:jc w:val="center"/>
      </w:pPr>
      <w:r w:rsidRPr="00664BBE">
        <w:rPr>
          <w:b/>
          <w:bCs/>
          <w:u w:val="single"/>
        </w:rPr>
        <w:t>Winter Weather Operations</w:t>
      </w:r>
      <w:r>
        <w:t>: Since safety is of the essence as well as the need to protect the sanctity of the gravesites and prevent damage to the same; the Town of Board will choose to permit or not to permit gravesite openings at its own discretion from November 1</w:t>
      </w:r>
      <w:r w:rsidRPr="00664BBE">
        <w:rPr>
          <w:vertAlign w:val="superscript"/>
        </w:rPr>
        <w:t>st</w:t>
      </w:r>
      <w:r>
        <w:t xml:space="preserve"> through May 1</w:t>
      </w:r>
      <w:r w:rsidRPr="00664BBE">
        <w:rPr>
          <w:vertAlign w:val="superscript"/>
        </w:rPr>
        <w:t>st</w:t>
      </w:r>
      <w:r>
        <w:t xml:space="preserve"> of each year. The Board’s decision in each case will be final. Remains not buried during this period will be stored until after May 1</w:t>
      </w:r>
      <w:r w:rsidRPr="00664BBE">
        <w:rPr>
          <w:vertAlign w:val="superscript"/>
        </w:rPr>
        <w:t>st</w:t>
      </w:r>
      <w:r>
        <w:t xml:space="preserve"> in the main cemetery vault and then will be placed in the ground. </w:t>
      </w:r>
    </w:p>
    <w:p w14:paraId="1AA0BAEA" w14:textId="77777777" w:rsidR="00664BBE" w:rsidRDefault="00664BBE" w:rsidP="00664BBE">
      <w:pPr>
        <w:pStyle w:val="ListParagraph"/>
      </w:pPr>
    </w:p>
    <w:p w14:paraId="1893CD12" w14:textId="4B4273C9" w:rsidR="00664BBE" w:rsidRDefault="00664BBE" w:rsidP="00664BBE">
      <w:pPr>
        <w:pStyle w:val="ListParagraph"/>
        <w:numPr>
          <w:ilvl w:val="0"/>
          <w:numId w:val="1"/>
        </w:numPr>
        <w:jc w:val="center"/>
      </w:pPr>
      <w:r w:rsidRPr="00664BBE">
        <w:rPr>
          <w:b/>
          <w:bCs/>
          <w:u w:val="single"/>
        </w:rPr>
        <w:t>All Other Issues:</w:t>
      </w:r>
      <w:r>
        <w:t xml:space="preserve"> All other issues pertaining to cemeteries within the Town of Bennett not expressly addressed in this ordinance will be governed by Chapter 157 (Disposal of Human Remains) of the Wisconsin State Statues. </w:t>
      </w:r>
    </w:p>
    <w:p w14:paraId="54AC15AA" w14:textId="77777777" w:rsidR="00664BBE" w:rsidRDefault="00664BBE" w:rsidP="00664BBE">
      <w:pPr>
        <w:pStyle w:val="ListParagraph"/>
      </w:pPr>
    </w:p>
    <w:p w14:paraId="4BECC0C5" w14:textId="694C46C6" w:rsidR="00664BBE" w:rsidRDefault="00664BBE" w:rsidP="00664BBE">
      <w:pPr>
        <w:pStyle w:val="ListParagraph"/>
        <w:jc w:val="center"/>
        <w:rPr>
          <w:b/>
          <w:bCs/>
          <w:sz w:val="28"/>
          <w:szCs w:val="28"/>
        </w:rPr>
      </w:pPr>
      <w:r w:rsidRPr="00664BBE">
        <w:rPr>
          <w:b/>
          <w:bCs/>
          <w:sz w:val="28"/>
          <w:szCs w:val="28"/>
        </w:rPr>
        <w:t>Declared and resolved this 12</w:t>
      </w:r>
      <w:r w:rsidRPr="00664BBE">
        <w:rPr>
          <w:b/>
          <w:bCs/>
          <w:sz w:val="28"/>
          <w:szCs w:val="28"/>
          <w:vertAlign w:val="superscript"/>
        </w:rPr>
        <w:t>th</w:t>
      </w:r>
      <w:r w:rsidRPr="00664BBE">
        <w:rPr>
          <w:b/>
          <w:bCs/>
          <w:sz w:val="28"/>
          <w:szCs w:val="28"/>
        </w:rPr>
        <w:t xml:space="preserve"> day of January 2026 by the Town Board, Town of Bennett, Douglas County, State of Wisconsin.</w:t>
      </w:r>
    </w:p>
    <w:p w14:paraId="0297BF76" w14:textId="77777777" w:rsidR="00664BBE" w:rsidRDefault="00664BBE" w:rsidP="00664BBE">
      <w:pPr>
        <w:pStyle w:val="ListParagraph"/>
        <w:jc w:val="center"/>
        <w:rPr>
          <w:b/>
          <w:bCs/>
          <w:sz w:val="28"/>
          <w:szCs w:val="28"/>
        </w:rPr>
      </w:pPr>
    </w:p>
    <w:p w14:paraId="1850DF80" w14:textId="591CC48F" w:rsidR="00AC3A57" w:rsidRPr="00AC3A57" w:rsidRDefault="00AC3A57">
      <w:pPr>
        <w:rPr>
          <w:b/>
          <w:bCs/>
        </w:rPr>
      </w:pPr>
      <w:r w:rsidRPr="00AC3A57">
        <w:rPr>
          <w:b/>
          <w:bCs/>
          <w:noProof/>
          <w:sz w:val="28"/>
          <w:szCs w:val="28"/>
        </w:rPr>
        <mc:AlternateContent>
          <mc:Choice Requires="wps">
            <w:drawing>
              <wp:anchor distT="45720" distB="45720" distL="114300" distR="114300" simplePos="0" relativeHeight="251659264" behindDoc="0" locked="0" layoutInCell="1" allowOverlap="1" wp14:anchorId="7C85DE3A" wp14:editId="1BEFF364">
                <wp:simplePos x="0" y="0"/>
                <wp:positionH relativeFrom="margin">
                  <wp:align>left</wp:align>
                </wp:positionH>
                <wp:positionV relativeFrom="paragraph">
                  <wp:posOffset>213360</wp:posOffset>
                </wp:positionV>
                <wp:extent cx="2343150" cy="2794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79400"/>
                        </a:xfrm>
                        <a:prstGeom prst="rect">
                          <a:avLst/>
                        </a:prstGeom>
                        <a:solidFill>
                          <a:srgbClr val="FFFFFF"/>
                        </a:solidFill>
                        <a:ln w="9525">
                          <a:noFill/>
                          <a:miter lim="800000"/>
                          <a:headEnd/>
                          <a:tailEnd/>
                        </a:ln>
                      </wps:spPr>
                      <wps:txbx>
                        <w:txbxContent>
                          <w:p w14:paraId="663BB4A3" w14:textId="75DEFA80" w:rsidR="00AC3A57" w:rsidRPr="00AC3A57" w:rsidRDefault="00AC3A57">
                            <w:r w:rsidRPr="00AC3A57">
                              <w:t>Brett Hunter, Bennett Town Chair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5DE3A" id="_x0000_t202" coordsize="21600,21600" o:spt="202" path="m,l,21600r21600,l21600,xe">
                <v:stroke joinstyle="miter"/>
                <v:path gradientshapeok="t" o:connecttype="rect"/>
              </v:shapetype>
              <v:shape id="Text Box 2" o:spid="_x0000_s1026" type="#_x0000_t202" style="position:absolute;margin-left:0;margin-top:16.8pt;width:184.5pt;height:2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4XDQ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" stroked="f">
                <v:textbox>
                  <w:txbxContent>
                    <w:p w14:paraId="663BB4A3" w14:textId="75DEFA80" w:rsidR="00AC3A57" w:rsidRPr="00AC3A57" w:rsidRDefault="00AC3A57">
                      <w:r w:rsidRPr="00AC3A57">
                        <w:t>Brett Hunter, Bennett Town Chair</w:t>
                      </w:r>
                    </w:p>
                  </w:txbxContent>
                </v:textbox>
                <w10:wrap anchorx="margin"/>
              </v:shape>
            </w:pict>
          </mc:Fallback>
        </mc:AlternateContent>
      </w:r>
      <w:r w:rsidRPr="00AC3A57">
        <w:rPr>
          <w:b/>
          <w:bCs/>
          <w:sz w:val="28"/>
          <w:szCs w:val="28"/>
        </w:rPr>
        <w:t>________________________</w:t>
      </w:r>
      <w:r>
        <w:rPr>
          <w:b/>
          <w:bCs/>
          <w:sz w:val="28"/>
          <w:szCs w:val="28"/>
        </w:rPr>
        <w:t>__________</w:t>
      </w:r>
    </w:p>
    <w:p w14:paraId="1EF6FEB7" w14:textId="1439F9DD" w:rsidR="00AC3A57" w:rsidRPr="00AC3A57" w:rsidRDefault="00AC3A57" w:rsidP="00AC3A57">
      <w:pPr>
        <w:rPr>
          <w:sz w:val="28"/>
          <w:szCs w:val="28"/>
        </w:rPr>
      </w:pPr>
    </w:p>
    <w:p w14:paraId="1C765AB9" w14:textId="1FA3E41C" w:rsidR="00AC3A57" w:rsidRDefault="00AC3A57">
      <w:r w:rsidRPr="00AC3A57">
        <w:rPr>
          <w:b/>
          <w:bCs/>
          <w:noProof/>
          <w:sz w:val="28"/>
          <w:szCs w:val="28"/>
        </w:rPr>
        <mc:AlternateContent>
          <mc:Choice Requires="wps">
            <w:drawing>
              <wp:anchor distT="45720" distB="45720" distL="114300" distR="114300" simplePos="0" relativeHeight="251661312" behindDoc="0" locked="0" layoutInCell="1" allowOverlap="1" wp14:anchorId="4D8DD254" wp14:editId="06FDE906">
                <wp:simplePos x="0" y="0"/>
                <wp:positionH relativeFrom="margin">
                  <wp:align>left</wp:align>
                </wp:positionH>
                <wp:positionV relativeFrom="paragraph">
                  <wp:posOffset>179070</wp:posOffset>
                </wp:positionV>
                <wp:extent cx="2908300" cy="279400"/>
                <wp:effectExtent l="0" t="0" r="6350" b="6350"/>
                <wp:wrapNone/>
                <wp:docPr id="1439585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79400"/>
                        </a:xfrm>
                        <a:prstGeom prst="rect">
                          <a:avLst/>
                        </a:prstGeom>
                        <a:solidFill>
                          <a:srgbClr val="FFFFFF"/>
                        </a:solidFill>
                        <a:ln w="9525">
                          <a:noFill/>
                          <a:miter lim="800000"/>
                          <a:headEnd/>
                          <a:tailEnd/>
                        </a:ln>
                      </wps:spPr>
                      <wps:txbx>
                        <w:txbxContent>
                          <w:p w14:paraId="68E8BE76" w14:textId="1338E1B5" w:rsidR="00AC3A57" w:rsidRPr="00AC3A57" w:rsidRDefault="00AC3A57" w:rsidP="00AC3A57">
                            <w:r>
                              <w:t>Wesley Koehler, Bennett Town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DD254" id="_x0000_s1027" type="#_x0000_t202" style="position:absolute;margin-left:0;margin-top:14.1pt;width:229pt;height:2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zDQ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" stroked="f">
                <v:textbox>
                  <w:txbxContent>
                    <w:p w14:paraId="68E8BE76" w14:textId="1338E1B5" w:rsidR="00AC3A57" w:rsidRPr="00AC3A57" w:rsidRDefault="00AC3A57" w:rsidP="00AC3A57">
                      <w:r>
                        <w:t>Wesley Koehler, Bennett Town Supervisor</w:t>
                      </w:r>
                    </w:p>
                  </w:txbxContent>
                </v:textbox>
                <w10:wrap anchorx="margin"/>
              </v:shape>
            </w:pict>
          </mc:Fallback>
        </mc:AlternateContent>
      </w:r>
      <w:r>
        <w:t>________________________________________</w:t>
      </w:r>
    </w:p>
    <w:p w14:paraId="5EAC7B94" w14:textId="1A0DBF73" w:rsidR="00AC3A57" w:rsidRDefault="00AC3A57"/>
    <w:p w14:paraId="5E725032" w14:textId="6732C82E" w:rsidR="00AC3A57" w:rsidRDefault="00AC3A57">
      <w:r w:rsidRPr="00AC3A57">
        <w:rPr>
          <w:b/>
          <w:bCs/>
          <w:noProof/>
          <w:sz w:val="28"/>
          <w:szCs w:val="28"/>
        </w:rPr>
        <mc:AlternateContent>
          <mc:Choice Requires="wps">
            <w:drawing>
              <wp:anchor distT="45720" distB="45720" distL="114300" distR="114300" simplePos="0" relativeHeight="251667456" behindDoc="0" locked="0" layoutInCell="1" allowOverlap="1" wp14:anchorId="412A13AD" wp14:editId="22368A71">
                <wp:simplePos x="0" y="0"/>
                <wp:positionH relativeFrom="margin">
                  <wp:align>left</wp:align>
                </wp:positionH>
                <wp:positionV relativeFrom="paragraph">
                  <wp:posOffset>168275</wp:posOffset>
                </wp:positionV>
                <wp:extent cx="2908300" cy="279400"/>
                <wp:effectExtent l="0" t="0" r="6350" b="6350"/>
                <wp:wrapNone/>
                <wp:docPr id="731981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79400"/>
                        </a:xfrm>
                        <a:prstGeom prst="rect">
                          <a:avLst/>
                        </a:prstGeom>
                        <a:solidFill>
                          <a:srgbClr val="FFFFFF"/>
                        </a:solidFill>
                        <a:ln w="9525">
                          <a:noFill/>
                          <a:miter lim="800000"/>
                          <a:headEnd/>
                          <a:tailEnd/>
                        </a:ln>
                      </wps:spPr>
                      <wps:txbx>
                        <w:txbxContent>
                          <w:p w14:paraId="26E70E61" w14:textId="3D32D923" w:rsidR="00AC3A57" w:rsidRPr="00AC3A57" w:rsidRDefault="00AC3A57" w:rsidP="00AC3A57">
                            <w:r>
                              <w:t>Gary Robbins, Bennett Town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A13AD" id="_x0000_s1028" type="#_x0000_t202" style="position:absolute;margin-left:0;margin-top:13.25pt;width:229pt;height:2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" stroked="f">
                <v:textbox>
                  <w:txbxContent>
                    <w:p w14:paraId="26E70E61" w14:textId="3D32D923" w:rsidR="00AC3A57" w:rsidRPr="00AC3A57" w:rsidRDefault="00AC3A57" w:rsidP="00AC3A57">
                      <w:r>
                        <w:t>Gary Robbins</w:t>
                      </w:r>
                      <w:r>
                        <w:t>, Bennett Town Supervisor</w:t>
                      </w:r>
                    </w:p>
                  </w:txbxContent>
                </v:textbox>
                <w10:wrap anchorx="margin"/>
              </v:shape>
            </w:pict>
          </mc:Fallback>
        </mc:AlternateContent>
      </w:r>
      <w:r>
        <w:t>________________________________________</w:t>
      </w:r>
    </w:p>
    <w:p w14:paraId="799F5F9B" w14:textId="12DA992B" w:rsidR="00AC3A57" w:rsidRDefault="00AC3A57"/>
    <w:p w14:paraId="66109259" w14:textId="4B014E73" w:rsidR="00AC3A57" w:rsidRPr="00AC3A57" w:rsidRDefault="00AC3A57" w:rsidP="00AC3A57">
      <w:r w:rsidRPr="00AC3A57">
        <w:rPr>
          <w:b/>
          <w:bCs/>
          <w:noProof/>
          <w:sz w:val="28"/>
          <w:szCs w:val="28"/>
        </w:rPr>
        <mc:AlternateContent>
          <mc:Choice Requires="wps">
            <w:drawing>
              <wp:anchor distT="45720" distB="45720" distL="114300" distR="114300" simplePos="0" relativeHeight="251665408" behindDoc="0" locked="0" layoutInCell="1" allowOverlap="1" wp14:anchorId="15F1A965" wp14:editId="2334101A">
                <wp:simplePos x="0" y="0"/>
                <wp:positionH relativeFrom="margin">
                  <wp:align>left</wp:align>
                </wp:positionH>
                <wp:positionV relativeFrom="paragraph">
                  <wp:posOffset>191135</wp:posOffset>
                </wp:positionV>
                <wp:extent cx="2520950" cy="279400"/>
                <wp:effectExtent l="0" t="0" r="0" b="6350"/>
                <wp:wrapNone/>
                <wp:docPr id="2066980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279400"/>
                        </a:xfrm>
                        <a:prstGeom prst="rect">
                          <a:avLst/>
                        </a:prstGeom>
                        <a:solidFill>
                          <a:srgbClr val="FFFFFF"/>
                        </a:solidFill>
                        <a:ln w="9525">
                          <a:noFill/>
                          <a:miter lim="800000"/>
                          <a:headEnd/>
                          <a:tailEnd/>
                        </a:ln>
                      </wps:spPr>
                      <wps:txbx>
                        <w:txbxContent>
                          <w:p w14:paraId="2BEC23F1" w14:textId="3E3CA85A" w:rsidR="00AC3A57" w:rsidRPr="00AC3A57" w:rsidRDefault="00AC3A57" w:rsidP="00AC3A57">
                            <w:r>
                              <w:t>Morgan Fowler, Bennett Town Clerk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1A965" id="_x0000_s1029" type="#_x0000_t202" style="position:absolute;margin-left:0;margin-top:15.05pt;width:198.5pt;height:2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" stroked="f">
                <v:textbox>
                  <w:txbxContent>
                    <w:p w14:paraId="2BEC23F1" w14:textId="3E3CA85A" w:rsidR="00AC3A57" w:rsidRPr="00AC3A57" w:rsidRDefault="00AC3A57" w:rsidP="00AC3A57">
                      <w:r>
                        <w:t>Morgan Fowler, Bennett Town Clerk</w:t>
                      </w:r>
                    </w:p>
                  </w:txbxContent>
                </v:textbox>
                <w10:wrap anchorx="margin"/>
              </v:shape>
            </w:pict>
          </mc:Fallback>
        </mc:AlternateContent>
      </w:r>
      <w:r>
        <w:t>________________________________________</w:t>
      </w:r>
    </w:p>
    <w:p w14:paraId="28D03E9E" w14:textId="77777777" w:rsidR="00AC3A57" w:rsidRDefault="00AC3A57" w:rsidP="00664BBE">
      <w:pPr>
        <w:pStyle w:val="ListParagraph"/>
        <w:rPr>
          <w:sz w:val="28"/>
          <w:szCs w:val="28"/>
        </w:rPr>
      </w:pPr>
    </w:p>
    <w:p w14:paraId="5BCEAB70" w14:textId="77777777" w:rsidR="00AC3A57" w:rsidRPr="00664BBE" w:rsidRDefault="00AC3A57" w:rsidP="00664BBE">
      <w:pPr>
        <w:pStyle w:val="ListParagraph"/>
        <w:rPr>
          <w:sz w:val="28"/>
          <w:szCs w:val="28"/>
        </w:rPr>
      </w:pPr>
    </w:p>
    <w:sectPr w:rsidR="00AC3A57" w:rsidRPr="00664B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6E68" w14:textId="77777777" w:rsidR="008020D4" w:rsidRDefault="008020D4" w:rsidP="00AE4150">
      <w:pPr>
        <w:spacing w:after="0" w:line="240" w:lineRule="auto"/>
      </w:pPr>
      <w:r>
        <w:separator/>
      </w:r>
    </w:p>
  </w:endnote>
  <w:endnote w:type="continuationSeparator" w:id="0">
    <w:p w14:paraId="14D1DF4A" w14:textId="77777777" w:rsidR="008020D4" w:rsidRDefault="008020D4" w:rsidP="00AE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0405" w14:textId="77777777" w:rsidR="008020D4" w:rsidRDefault="008020D4" w:rsidP="00AE4150">
      <w:pPr>
        <w:spacing w:after="0" w:line="240" w:lineRule="auto"/>
      </w:pPr>
      <w:r>
        <w:separator/>
      </w:r>
    </w:p>
  </w:footnote>
  <w:footnote w:type="continuationSeparator" w:id="0">
    <w:p w14:paraId="727F989B" w14:textId="77777777" w:rsidR="008020D4" w:rsidRDefault="008020D4" w:rsidP="00AE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96EC" w14:textId="660A1F80" w:rsidR="00AE4150" w:rsidRPr="00AE4150" w:rsidRDefault="00AE4150" w:rsidP="00AE4150">
    <w:pPr>
      <w:pStyle w:val="Header"/>
      <w:jc w:val="center"/>
      <w:rPr>
        <w:b/>
        <w:bCs/>
        <w:sz w:val="28"/>
        <w:szCs w:val="28"/>
      </w:rPr>
    </w:pPr>
    <w:r w:rsidRPr="00AE4150">
      <w:rPr>
        <w:b/>
        <w:bCs/>
        <w:sz w:val="28"/>
        <w:szCs w:val="28"/>
      </w:rPr>
      <w:t>STATE OF WISCONSIN</w:t>
    </w:r>
  </w:p>
  <w:p w14:paraId="714E9CEB" w14:textId="530E705D" w:rsidR="00AE4150" w:rsidRPr="00AE4150" w:rsidRDefault="00AE4150" w:rsidP="00AE4150">
    <w:pPr>
      <w:pStyle w:val="Header"/>
      <w:jc w:val="center"/>
      <w:rPr>
        <w:b/>
        <w:bCs/>
        <w:sz w:val="28"/>
        <w:szCs w:val="28"/>
      </w:rPr>
    </w:pPr>
    <w:r w:rsidRPr="00AE4150">
      <w:rPr>
        <w:b/>
        <w:bCs/>
        <w:sz w:val="28"/>
        <w:szCs w:val="28"/>
      </w:rPr>
      <w:t>Town of Bennett, Douglas County</w:t>
    </w:r>
  </w:p>
  <w:p w14:paraId="5BC48BEB" w14:textId="14D2FB92" w:rsidR="00AE4150" w:rsidRPr="00AE4150" w:rsidRDefault="00AE4150" w:rsidP="00AE4150">
    <w:pPr>
      <w:pStyle w:val="Header"/>
      <w:jc w:val="center"/>
      <w:rPr>
        <w:b/>
        <w:bCs/>
        <w:sz w:val="28"/>
        <w:szCs w:val="28"/>
      </w:rPr>
    </w:pPr>
    <w:r w:rsidRPr="00AE4150">
      <w:rPr>
        <w:b/>
        <w:bCs/>
        <w:sz w:val="28"/>
        <w:szCs w:val="28"/>
      </w:rPr>
      <w:t>Ordinance # TB 2026-01-12</w:t>
    </w:r>
  </w:p>
  <w:p w14:paraId="4BEE8B31" w14:textId="77777777" w:rsidR="00AE4150" w:rsidRDefault="00AE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729A1"/>
    <w:multiLevelType w:val="hybridMultilevel"/>
    <w:tmpl w:val="A2485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58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0"/>
    <w:rsid w:val="004A2F21"/>
    <w:rsid w:val="00664BBE"/>
    <w:rsid w:val="008020D4"/>
    <w:rsid w:val="00A22F6D"/>
    <w:rsid w:val="00AC3A57"/>
    <w:rsid w:val="00AE4150"/>
    <w:rsid w:val="00CF6B6E"/>
    <w:rsid w:val="00D000B1"/>
    <w:rsid w:val="00D3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2DE2"/>
  <w15:chartTrackingRefBased/>
  <w15:docId w15:val="{97B8B60D-73D6-474A-BCE0-57DA68DC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150"/>
    <w:rPr>
      <w:rFonts w:eastAsiaTheme="majorEastAsia" w:cstheme="majorBidi"/>
      <w:color w:val="272727" w:themeColor="text1" w:themeTint="D8"/>
    </w:rPr>
  </w:style>
  <w:style w:type="paragraph" w:styleId="Title">
    <w:name w:val="Title"/>
    <w:basedOn w:val="Normal"/>
    <w:next w:val="Normal"/>
    <w:link w:val="TitleChar"/>
    <w:uiPriority w:val="10"/>
    <w:qFormat/>
    <w:rsid w:val="00AE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150"/>
    <w:pPr>
      <w:spacing w:before="160"/>
      <w:jc w:val="center"/>
    </w:pPr>
    <w:rPr>
      <w:i/>
      <w:iCs/>
      <w:color w:val="404040" w:themeColor="text1" w:themeTint="BF"/>
    </w:rPr>
  </w:style>
  <w:style w:type="character" w:customStyle="1" w:styleId="QuoteChar">
    <w:name w:val="Quote Char"/>
    <w:basedOn w:val="DefaultParagraphFont"/>
    <w:link w:val="Quote"/>
    <w:uiPriority w:val="29"/>
    <w:rsid w:val="00AE4150"/>
    <w:rPr>
      <w:i/>
      <w:iCs/>
      <w:color w:val="404040" w:themeColor="text1" w:themeTint="BF"/>
    </w:rPr>
  </w:style>
  <w:style w:type="paragraph" w:styleId="ListParagraph">
    <w:name w:val="List Paragraph"/>
    <w:basedOn w:val="Normal"/>
    <w:uiPriority w:val="34"/>
    <w:qFormat/>
    <w:rsid w:val="00AE4150"/>
    <w:pPr>
      <w:ind w:left="720"/>
      <w:contextualSpacing/>
    </w:pPr>
  </w:style>
  <w:style w:type="character" w:styleId="IntenseEmphasis">
    <w:name w:val="Intense Emphasis"/>
    <w:basedOn w:val="DefaultParagraphFont"/>
    <w:uiPriority w:val="21"/>
    <w:qFormat/>
    <w:rsid w:val="00AE4150"/>
    <w:rPr>
      <w:i/>
      <w:iCs/>
      <w:color w:val="0F4761" w:themeColor="accent1" w:themeShade="BF"/>
    </w:rPr>
  </w:style>
  <w:style w:type="paragraph" w:styleId="IntenseQuote">
    <w:name w:val="Intense Quote"/>
    <w:basedOn w:val="Normal"/>
    <w:next w:val="Normal"/>
    <w:link w:val="IntenseQuoteChar"/>
    <w:uiPriority w:val="30"/>
    <w:qFormat/>
    <w:rsid w:val="00AE4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150"/>
    <w:rPr>
      <w:i/>
      <w:iCs/>
      <w:color w:val="0F4761" w:themeColor="accent1" w:themeShade="BF"/>
    </w:rPr>
  </w:style>
  <w:style w:type="character" w:styleId="IntenseReference">
    <w:name w:val="Intense Reference"/>
    <w:basedOn w:val="DefaultParagraphFont"/>
    <w:uiPriority w:val="32"/>
    <w:qFormat/>
    <w:rsid w:val="00AE4150"/>
    <w:rPr>
      <w:b/>
      <w:bCs/>
      <w:smallCaps/>
      <w:color w:val="0F4761" w:themeColor="accent1" w:themeShade="BF"/>
      <w:spacing w:val="5"/>
    </w:rPr>
  </w:style>
  <w:style w:type="paragraph" w:styleId="Header">
    <w:name w:val="header"/>
    <w:basedOn w:val="Normal"/>
    <w:link w:val="HeaderChar"/>
    <w:uiPriority w:val="99"/>
    <w:unhideWhenUsed/>
    <w:rsid w:val="00AE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50"/>
  </w:style>
  <w:style w:type="paragraph" w:styleId="Footer">
    <w:name w:val="footer"/>
    <w:basedOn w:val="Normal"/>
    <w:link w:val="FooterChar"/>
    <w:uiPriority w:val="99"/>
    <w:unhideWhenUsed/>
    <w:rsid w:val="00AE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230</Words>
  <Characters>1236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Tamara Johnson</dc:creator>
  <cp:keywords/>
  <dc:description/>
  <cp:lastModifiedBy>Clerk Tamara Johnson</cp:lastModifiedBy>
  <cp:revision>2</cp:revision>
  <cp:lastPrinted>2026-01-06T19:03:00Z</cp:lastPrinted>
  <dcterms:created xsi:type="dcterms:W3CDTF">2026-01-06T18:35:00Z</dcterms:created>
  <dcterms:modified xsi:type="dcterms:W3CDTF">2026-03-23T21:40:00Z</dcterms:modified>
</cp:coreProperties>
</file>